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8923" w14:textId="77777777" w:rsidR="001615D6" w:rsidRPr="005368C4" w:rsidRDefault="001615D6" w:rsidP="001615D6">
      <w:pPr>
        <w:pStyle w:val="Didefault"/>
        <w:spacing w:before="0" w:after="281" w:line="240" w:lineRule="auto"/>
        <w:jc w:val="center"/>
        <w:rPr>
          <w:rFonts w:ascii="Calibri" w:hAnsi="Calibri" w:cs="Calibri"/>
          <w:b/>
          <w:bCs/>
          <w:color w:val="auto"/>
          <w:sz w:val="22"/>
          <w:szCs w:val="22"/>
          <w:lang w:val="en-GB"/>
        </w:rPr>
      </w:pPr>
      <w:r w:rsidRPr="005368C4">
        <w:rPr>
          <w:rFonts w:ascii="Calibri" w:hAnsi="Calibri" w:cs="Calibri"/>
          <w:b/>
          <w:bCs/>
          <w:noProof/>
          <w:color w:val="auto"/>
          <w:sz w:val="22"/>
          <w:szCs w:val="22"/>
          <w:lang w:val="en-GB"/>
          <w14:textOutline w14:w="0" w14:cap="rnd" w14:cmpd="sng" w14:algn="ctr">
            <w14:noFill/>
            <w14:prstDash w14:val="solid"/>
            <w14:bevel/>
          </w14:textOutline>
        </w:rPr>
        <w:drawing>
          <wp:inline distT="0" distB="0" distL="0" distR="0" wp14:anchorId="7112FC88" wp14:editId="631F0F6C">
            <wp:extent cx="6116320" cy="937260"/>
            <wp:effectExtent l="0" t="0" r="0" b="0"/>
            <wp:docPr id="2093687868" name="Immagine 1"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87868" name="Immagine 1" descr="Immagine che contiene testo, schermata, Carattere, numero&#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6116320" cy="937260"/>
                    </a:xfrm>
                    <a:prstGeom prst="rect">
                      <a:avLst/>
                    </a:prstGeom>
                  </pic:spPr>
                </pic:pic>
              </a:graphicData>
            </a:graphic>
          </wp:inline>
        </w:drawing>
      </w:r>
    </w:p>
    <w:p w14:paraId="68752AF9" w14:textId="2609E40E" w:rsidR="001615D6" w:rsidRPr="005368C4" w:rsidRDefault="00A25182" w:rsidP="001615D6">
      <w:pPr>
        <w:pStyle w:val="Didefault"/>
        <w:spacing w:before="0" w:after="281" w:line="240" w:lineRule="auto"/>
        <w:jc w:val="center"/>
        <w:rPr>
          <w:rFonts w:ascii="Calibri" w:hAnsi="Calibri" w:cs="Calibri"/>
          <w:b/>
          <w:bCs/>
          <w:color w:val="auto"/>
          <w:sz w:val="22"/>
          <w:szCs w:val="22"/>
          <w:lang w:val="en-GB"/>
        </w:rPr>
      </w:pPr>
      <w:r w:rsidRPr="005368C4">
        <w:rPr>
          <w:rFonts w:ascii="Calibri" w:hAnsi="Calibri" w:cs="Calibri"/>
          <w:b/>
          <w:bCs/>
          <w:color w:val="auto"/>
          <w:sz w:val="22"/>
          <w:szCs w:val="22"/>
          <w:lang w:val="en-GB"/>
        </w:rPr>
        <w:t>press release</w:t>
      </w:r>
    </w:p>
    <w:p w14:paraId="4E898C5A" w14:textId="6D248193" w:rsidR="001615D6" w:rsidRPr="005368C4" w:rsidRDefault="0098681E" w:rsidP="001615D6">
      <w:pPr>
        <w:pStyle w:val="Didefault"/>
        <w:spacing w:before="0" w:after="281" w:line="240" w:lineRule="auto"/>
        <w:jc w:val="center"/>
        <w:rPr>
          <w:rFonts w:ascii="Calibri" w:hAnsi="Calibri" w:cs="Calibri"/>
          <w:b/>
          <w:bCs/>
          <w:color w:val="auto"/>
          <w:sz w:val="22"/>
          <w:szCs w:val="22"/>
          <w:lang w:val="en-GB"/>
        </w:rPr>
      </w:pPr>
      <w:bookmarkStart w:id="0" w:name="_Hlk201768375"/>
      <w:r w:rsidRPr="005368C4">
        <w:rPr>
          <w:rFonts w:ascii="Calibri" w:hAnsi="Calibri" w:cs="Calibri"/>
          <w:b/>
          <w:bCs/>
          <w:color w:val="auto"/>
          <w:sz w:val="22"/>
          <w:szCs w:val="22"/>
          <w:lang w:val="en-GB"/>
        </w:rPr>
        <w:t xml:space="preserve">MIR - </w:t>
      </w:r>
      <w:r w:rsidR="00A25182" w:rsidRPr="005368C4">
        <w:rPr>
          <w:rFonts w:ascii="Calibri" w:hAnsi="Calibri" w:cs="Calibri"/>
          <w:b/>
          <w:bCs/>
          <w:color w:val="auto"/>
          <w:sz w:val="22"/>
          <w:szCs w:val="22"/>
          <w:lang w:val="en-GB"/>
        </w:rPr>
        <w:t>MULTIMEDIA INTEGRATION EXPO, THE ONLY ITALIAN EVENT DEDICATED TO INNOVATION IN INTEGRATED SYSTEMS FOR PROFESSIONAL AUDIOVISUAL AND ENTERTAINMENT TECHNOLOGY RETURNS TO RIMINI FROM APRIL 12 TO 14, 2026</w:t>
      </w:r>
    </w:p>
    <w:p w14:paraId="0DDA2859" w14:textId="02FD7839" w:rsidR="001615D6" w:rsidRPr="005368C4" w:rsidRDefault="00A25182" w:rsidP="001615D6">
      <w:pPr>
        <w:pStyle w:val="Di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after="281" w:line="240" w:lineRule="auto"/>
        <w:jc w:val="both"/>
        <w:rPr>
          <w:rFonts w:ascii="Calibri" w:hAnsi="Calibri" w:cs="Calibri"/>
          <w:b/>
          <w:bCs/>
          <w:color w:val="auto"/>
          <w:sz w:val="22"/>
          <w:szCs w:val="22"/>
          <w:lang w:val="en-GB"/>
        </w:rPr>
      </w:pPr>
      <w:r w:rsidRPr="005368C4">
        <w:rPr>
          <w:rFonts w:ascii="Calibri" w:hAnsi="Calibri" w:cs="Calibri"/>
          <w:b/>
          <w:bCs/>
          <w:color w:val="auto"/>
          <w:sz w:val="22"/>
          <w:szCs w:val="22"/>
          <w:lang w:val="en-GB"/>
        </w:rPr>
        <w:t>Curated by Italian Exhibition Group at Rimini Expo Centre, the ninth edition showcases cutting-edge technologies and exclusive formats for the AV community.</w:t>
      </w:r>
    </w:p>
    <w:p w14:paraId="054A9509" w14:textId="5E0A23AE" w:rsidR="001615D6" w:rsidRPr="005368C4" w:rsidRDefault="001615D6" w:rsidP="001615D6">
      <w:pPr>
        <w:pStyle w:val="Di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both"/>
        <w:rPr>
          <w:rFonts w:ascii="Calibri" w:hAnsi="Calibri" w:cs="Calibri"/>
          <w:b/>
          <w:bCs/>
          <w:color w:val="auto"/>
          <w:sz w:val="22"/>
          <w:szCs w:val="22"/>
          <w:lang w:val="en-GB"/>
        </w:rPr>
      </w:pPr>
      <w:r w:rsidRPr="005368C4">
        <w:rPr>
          <w:rFonts w:ascii="Calibri" w:hAnsi="Calibri" w:cs="Calibri"/>
          <w:b/>
          <w:bCs/>
          <w:color w:val="auto"/>
          <w:sz w:val="22"/>
          <w:szCs w:val="22"/>
          <w:lang w:val="en-GB"/>
        </w:rPr>
        <w:t>Conf</w:t>
      </w:r>
      <w:r w:rsidR="00A25182" w:rsidRPr="005368C4">
        <w:rPr>
          <w:rFonts w:ascii="Calibri" w:hAnsi="Calibri" w:cs="Calibri"/>
          <w:b/>
          <w:bCs/>
          <w:color w:val="auto"/>
          <w:sz w:val="22"/>
          <w:szCs w:val="22"/>
          <w:lang w:val="en-GB"/>
        </w:rPr>
        <w:t>i</w:t>
      </w:r>
      <w:r w:rsidRPr="005368C4">
        <w:rPr>
          <w:rFonts w:ascii="Calibri" w:hAnsi="Calibri" w:cs="Calibri"/>
          <w:b/>
          <w:bCs/>
          <w:color w:val="auto"/>
          <w:sz w:val="22"/>
          <w:szCs w:val="22"/>
          <w:lang w:val="en-GB"/>
        </w:rPr>
        <w:t>rm</w:t>
      </w:r>
      <w:r w:rsidR="00A25182" w:rsidRPr="005368C4">
        <w:rPr>
          <w:rFonts w:ascii="Calibri" w:hAnsi="Calibri" w:cs="Calibri"/>
          <w:b/>
          <w:bCs/>
          <w:color w:val="auto"/>
          <w:sz w:val="22"/>
          <w:szCs w:val="22"/>
          <w:lang w:val="en-GB"/>
        </w:rPr>
        <w:t>ed for</w:t>
      </w:r>
      <w:r w:rsidRPr="005368C4">
        <w:rPr>
          <w:rFonts w:ascii="Calibri" w:hAnsi="Calibri" w:cs="Calibri"/>
          <w:b/>
          <w:bCs/>
          <w:color w:val="auto"/>
          <w:sz w:val="22"/>
          <w:szCs w:val="22"/>
          <w:lang w:val="en-GB"/>
        </w:rPr>
        <w:t xml:space="preserve"> 2026</w:t>
      </w:r>
      <w:r w:rsidR="00A25182" w:rsidRPr="005368C4">
        <w:rPr>
          <w:rFonts w:ascii="Calibri" w:hAnsi="Calibri" w:cs="Calibri"/>
          <w:b/>
          <w:bCs/>
          <w:color w:val="auto"/>
          <w:sz w:val="22"/>
          <w:szCs w:val="22"/>
          <w:lang w:val="en-GB"/>
        </w:rPr>
        <w:t>: the exclusive formats Live You Play (with the Sound Power arena) and MIR Club, Europe’s only trade fair space dedicated to DJ and club culture.</w:t>
      </w:r>
    </w:p>
    <w:p w14:paraId="19441E50" w14:textId="4DE0425B" w:rsidR="001615D6" w:rsidRPr="005368C4" w:rsidRDefault="00CB08AF" w:rsidP="001615D6">
      <w:pPr>
        <w:pStyle w:val="Di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both"/>
        <w:rPr>
          <w:rFonts w:ascii="Calibri" w:hAnsi="Calibri" w:cs="Calibri"/>
          <w:b/>
          <w:bCs/>
          <w:color w:val="auto"/>
          <w:sz w:val="22"/>
          <w:szCs w:val="22"/>
          <w:lang w:val="en-GB"/>
        </w:rPr>
      </w:pPr>
      <w:r w:rsidRPr="005368C4">
        <w:rPr>
          <w:rFonts w:ascii="Calibri" w:hAnsi="Calibri" w:cs="Calibri"/>
          <w:b/>
          <w:bCs/>
          <w:color w:val="auto"/>
          <w:sz w:val="22"/>
          <w:szCs w:val="22"/>
          <w:lang w:val="en-GB"/>
        </w:rPr>
        <w:t>A unique experiential and educational platform, featuring live demos, immersive rooms, interactive stages, and vertical training paths for today’s professionals and tomorrow’s talent.</w:t>
      </w:r>
    </w:p>
    <w:p w14:paraId="654BA4B3" w14:textId="77777777" w:rsidR="001615D6" w:rsidRPr="005368C4" w:rsidRDefault="001615D6" w:rsidP="001615D6">
      <w:pPr>
        <w:pStyle w:val="Didefault"/>
        <w:spacing w:before="0" w:line="240" w:lineRule="auto"/>
        <w:jc w:val="both"/>
        <w:rPr>
          <w:rFonts w:ascii="Calibri" w:hAnsi="Calibri" w:cs="Calibri"/>
          <w:color w:val="auto"/>
          <w:sz w:val="22"/>
          <w:szCs w:val="22"/>
          <w:lang w:val="en-GB"/>
        </w:rPr>
      </w:pPr>
    </w:p>
    <w:p w14:paraId="32105C3D" w14:textId="77777777" w:rsidR="00445370" w:rsidRDefault="001615D6" w:rsidP="00445370">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i/>
          <w:iCs/>
          <w:color w:val="auto"/>
          <w:sz w:val="22"/>
          <w:szCs w:val="22"/>
          <w:lang w:val="en-GB"/>
        </w:rPr>
        <w:t xml:space="preserve">Rimini, </w:t>
      </w:r>
      <w:r w:rsidR="006C7B31" w:rsidRPr="005368C4">
        <w:rPr>
          <w:rFonts w:ascii="Calibri" w:hAnsi="Calibri" w:cs="Calibri"/>
          <w:i/>
          <w:iCs/>
          <w:color w:val="auto"/>
          <w:sz w:val="22"/>
          <w:szCs w:val="22"/>
          <w:lang w:val="en-GB"/>
        </w:rPr>
        <w:t xml:space="preserve">26 </w:t>
      </w:r>
      <w:r w:rsidR="00CB08AF" w:rsidRPr="005368C4">
        <w:rPr>
          <w:rFonts w:ascii="Calibri" w:hAnsi="Calibri" w:cs="Calibri"/>
          <w:i/>
          <w:iCs/>
          <w:color w:val="auto"/>
          <w:sz w:val="22"/>
          <w:szCs w:val="22"/>
          <w:lang w:val="en-GB"/>
        </w:rPr>
        <w:t>June</w:t>
      </w:r>
      <w:r w:rsidR="006C7B31" w:rsidRPr="005368C4">
        <w:rPr>
          <w:rFonts w:ascii="Calibri" w:hAnsi="Calibri" w:cs="Calibri"/>
          <w:i/>
          <w:iCs/>
          <w:color w:val="auto"/>
          <w:sz w:val="22"/>
          <w:szCs w:val="22"/>
          <w:lang w:val="en-GB"/>
        </w:rPr>
        <w:t xml:space="preserve"> 2025</w:t>
      </w:r>
      <w:r w:rsidRPr="005368C4">
        <w:rPr>
          <w:rFonts w:ascii="Calibri" w:hAnsi="Calibri" w:cs="Calibri"/>
          <w:b/>
          <w:bCs/>
          <w:color w:val="auto"/>
          <w:sz w:val="22"/>
          <w:szCs w:val="22"/>
          <w:lang w:val="en-GB"/>
        </w:rPr>
        <w:t xml:space="preserve"> </w:t>
      </w:r>
      <w:r w:rsidRPr="005368C4">
        <w:rPr>
          <w:rFonts w:ascii="Calibri" w:hAnsi="Calibri" w:cs="Calibri"/>
          <w:color w:val="auto"/>
          <w:sz w:val="22"/>
          <w:szCs w:val="22"/>
          <w:lang w:val="en-GB"/>
        </w:rPr>
        <w:t xml:space="preserve">– </w:t>
      </w:r>
      <w:r w:rsidR="00CB08AF" w:rsidRPr="005368C4">
        <w:rPr>
          <w:rFonts w:ascii="Calibri" w:hAnsi="Calibri" w:cs="Calibri"/>
          <w:color w:val="auto"/>
          <w:sz w:val="22"/>
          <w:szCs w:val="22"/>
          <w:lang w:val="en-GB"/>
        </w:rPr>
        <w:t xml:space="preserve">Following a highly successful 2025 edition, </w:t>
      </w:r>
      <w:r w:rsidR="00CB08AF" w:rsidRPr="005368C4">
        <w:rPr>
          <w:rFonts w:ascii="Calibri" w:hAnsi="Calibri" w:cs="Calibri"/>
          <w:b/>
          <w:bCs/>
          <w:color w:val="auto"/>
          <w:sz w:val="22"/>
          <w:szCs w:val="22"/>
          <w:lang w:val="en-GB"/>
        </w:rPr>
        <w:t>MIR – Multimedia Integration Expo</w:t>
      </w:r>
      <w:r w:rsidR="00CB08AF" w:rsidRPr="005368C4">
        <w:rPr>
          <w:rFonts w:ascii="Calibri" w:hAnsi="Calibri" w:cs="Calibri"/>
          <w:color w:val="auto"/>
          <w:sz w:val="22"/>
          <w:szCs w:val="22"/>
          <w:lang w:val="en-GB"/>
        </w:rPr>
        <w:t xml:space="preserve"> returns from </w:t>
      </w:r>
      <w:r w:rsidR="00CB08AF" w:rsidRPr="005368C4">
        <w:rPr>
          <w:rFonts w:ascii="Calibri" w:hAnsi="Calibri" w:cs="Calibri"/>
          <w:b/>
          <w:bCs/>
          <w:color w:val="auto"/>
          <w:sz w:val="22"/>
          <w:szCs w:val="22"/>
          <w:lang w:val="en-GB"/>
        </w:rPr>
        <w:t>April 12 to 14</w:t>
      </w:r>
      <w:r w:rsidR="0098681E" w:rsidRPr="005368C4">
        <w:rPr>
          <w:rFonts w:ascii="Calibri" w:hAnsi="Calibri" w:cs="Calibri"/>
          <w:color w:val="auto"/>
          <w:sz w:val="22"/>
          <w:szCs w:val="22"/>
          <w:lang w:val="en-GB"/>
        </w:rPr>
        <w:t xml:space="preserve"> in</w:t>
      </w:r>
      <w:r w:rsidR="0098681E" w:rsidRPr="005368C4">
        <w:rPr>
          <w:rFonts w:ascii="Calibri" w:hAnsi="Calibri" w:cs="Calibri"/>
          <w:b/>
          <w:bCs/>
          <w:color w:val="auto"/>
          <w:sz w:val="22"/>
          <w:szCs w:val="22"/>
          <w:lang w:val="en-GB"/>
        </w:rPr>
        <w:t xml:space="preserve"> </w:t>
      </w:r>
      <w:r w:rsidR="00CB08AF" w:rsidRPr="005368C4">
        <w:rPr>
          <w:rFonts w:ascii="Calibri" w:hAnsi="Calibri" w:cs="Calibri"/>
          <w:b/>
          <w:bCs/>
          <w:color w:val="auto"/>
          <w:sz w:val="22"/>
          <w:szCs w:val="22"/>
          <w:lang w:val="en-GB"/>
        </w:rPr>
        <w:t>2026</w:t>
      </w:r>
      <w:r w:rsidR="00CB08AF" w:rsidRPr="005368C4">
        <w:rPr>
          <w:rFonts w:ascii="Calibri" w:hAnsi="Calibri" w:cs="Calibri"/>
          <w:color w:val="auto"/>
          <w:sz w:val="22"/>
          <w:szCs w:val="22"/>
          <w:lang w:val="en-GB"/>
        </w:rPr>
        <w:t xml:space="preserve">, to </w:t>
      </w:r>
      <w:r w:rsidR="00CB08AF" w:rsidRPr="005368C4">
        <w:rPr>
          <w:rFonts w:ascii="Calibri" w:hAnsi="Calibri" w:cs="Calibri"/>
          <w:b/>
          <w:bCs/>
          <w:color w:val="auto"/>
          <w:sz w:val="22"/>
          <w:szCs w:val="22"/>
          <w:lang w:val="en-GB"/>
        </w:rPr>
        <w:t>Rimini Expo Centre</w:t>
      </w:r>
      <w:r w:rsidR="00CB08AF" w:rsidRPr="005368C4">
        <w:rPr>
          <w:rFonts w:ascii="Calibri" w:hAnsi="Calibri" w:cs="Calibri"/>
          <w:color w:val="auto"/>
          <w:sz w:val="22"/>
          <w:szCs w:val="22"/>
          <w:lang w:val="en-GB"/>
        </w:rPr>
        <w:t xml:space="preserve">, curated by </w:t>
      </w:r>
      <w:r w:rsidR="00CB08AF" w:rsidRPr="005368C4">
        <w:rPr>
          <w:rFonts w:ascii="Calibri" w:hAnsi="Calibri" w:cs="Calibri"/>
          <w:b/>
          <w:bCs/>
          <w:color w:val="auto"/>
          <w:sz w:val="22"/>
          <w:szCs w:val="22"/>
          <w:lang w:val="en-GB"/>
        </w:rPr>
        <w:t>Italian Exhibition Group (IEG)</w:t>
      </w:r>
      <w:r w:rsidR="00CB08AF" w:rsidRPr="005368C4">
        <w:rPr>
          <w:rFonts w:ascii="Calibri" w:hAnsi="Calibri" w:cs="Calibri"/>
          <w:color w:val="auto"/>
          <w:sz w:val="22"/>
          <w:szCs w:val="22"/>
          <w:lang w:val="en-GB"/>
        </w:rPr>
        <w:t>. The show continues to establish itself as the go-to Italian event for integrated technologies in audio, video, lighting, and control, with applications across corporate, education, museums, retail, broadcast, and live events.</w:t>
      </w:r>
    </w:p>
    <w:p w14:paraId="1A9A31FE" w14:textId="77777777" w:rsidR="00445370" w:rsidRDefault="00CB08AF" w:rsidP="00445370">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color w:val="auto"/>
          <w:sz w:val="22"/>
          <w:szCs w:val="22"/>
          <w:lang w:val="en-GB"/>
        </w:rPr>
        <w:t xml:space="preserve">In 2025, MIR saw a </w:t>
      </w:r>
      <w:r w:rsidRPr="005368C4">
        <w:rPr>
          <w:rFonts w:ascii="Calibri" w:hAnsi="Calibri" w:cs="Calibri"/>
          <w:b/>
          <w:bCs/>
          <w:color w:val="auto"/>
          <w:sz w:val="22"/>
          <w:szCs w:val="22"/>
          <w:lang w:val="en-GB"/>
        </w:rPr>
        <w:t>30% increase in attendance compared to the previous year</w:t>
      </w:r>
      <w:r w:rsidRPr="005368C4">
        <w:rPr>
          <w:rFonts w:ascii="Calibri" w:hAnsi="Calibri" w:cs="Calibri"/>
          <w:color w:val="auto"/>
          <w:sz w:val="22"/>
          <w:szCs w:val="22"/>
          <w:lang w:val="en-GB"/>
        </w:rPr>
        <w:t>, featuring over 200 exhibiting brands, 15% of which were international. The foreign audience accounted for 19% of the total, with strong participation from Germany, the United Kingdom, China, and the Netherlands, confirming the event's international appeal.</w:t>
      </w:r>
    </w:p>
    <w:p w14:paraId="55CDD090" w14:textId="77777777" w:rsidR="00445370" w:rsidRDefault="00CB08AF" w:rsidP="00445370">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color w:val="auto"/>
          <w:sz w:val="22"/>
          <w:szCs w:val="22"/>
          <w:lang w:val="en-GB"/>
        </w:rPr>
        <w:t>MIR stands out with its unique hybrid and original trade fair format, blending exhibition spaces, hands-on experiences, and high-value professional content. Unlike traditional trade shows, MIR integrates exclusive formats designed to actively engage the entire AV and entertainment community.</w:t>
      </w:r>
    </w:p>
    <w:p w14:paraId="18DEF15D" w14:textId="6ADA5A79" w:rsidR="00CB08AF" w:rsidRPr="005368C4" w:rsidRDefault="00CB08AF" w:rsidP="00445370">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color w:val="auto"/>
          <w:sz w:val="22"/>
          <w:szCs w:val="22"/>
          <w:lang w:val="en-GB"/>
        </w:rPr>
        <w:t>As the professional audiovisual industry is increasingly embracing experiential technologies</w:t>
      </w:r>
      <w:r w:rsidR="0098681E" w:rsidRPr="005368C4">
        <w:rPr>
          <w:rFonts w:ascii="Calibri" w:hAnsi="Calibri" w:cs="Calibri"/>
          <w:color w:val="auto"/>
          <w:sz w:val="22"/>
          <w:szCs w:val="22"/>
          <w:lang w:val="en-GB"/>
        </w:rPr>
        <w:t>, isolated demos are no longer enough</w:t>
      </w:r>
      <w:r w:rsidRPr="005368C4">
        <w:rPr>
          <w:rFonts w:ascii="Calibri" w:hAnsi="Calibri" w:cs="Calibri"/>
          <w:color w:val="auto"/>
          <w:sz w:val="22"/>
          <w:szCs w:val="22"/>
          <w:lang w:val="en-GB"/>
        </w:rPr>
        <w:t xml:space="preserve">. </w:t>
      </w:r>
      <w:r w:rsidR="0098681E" w:rsidRPr="005368C4">
        <w:rPr>
          <w:rFonts w:ascii="Calibri" w:hAnsi="Calibri" w:cs="Calibri"/>
          <w:color w:val="auto"/>
          <w:sz w:val="22"/>
          <w:szCs w:val="22"/>
          <w:lang w:val="en-GB"/>
        </w:rPr>
        <w:t>What’s needed is an integrated approach—one that offers spaces to test, learn, exchange ideas, and do business. In this context, events like MIR provide a tangible platform for a new generation of professional gatherings, built around a specialized community and powered by immersive formats and targeted educational content aimed at driving industry transformation.</w:t>
      </w:r>
    </w:p>
    <w:p w14:paraId="6AB4C88E" w14:textId="77777777" w:rsidR="00445370" w:rsidRDefault="0098681E" w:rsidP="001615D6">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color w:val="auto"/>
          <w:sz w:val="22"/>
          <w:szCs w:val="22"/>
          <w:lang w:val="en-GB"/>
        </w:rPr>
        <w:t xml:space="preserve">In Europe, the immersive entertainment industry—which includes virtual reality, multisensory environments, and integrated installations—generated over $25.7 billion in 2024, with projected growth of 27.5% CAGR through 2030 (source: </w:t>
      </w:r>
      <w:r w:rsidRPr="005368C4">
        <w:rPr>
          <w:rFonts w:ascii="Calibri" w:hAnsi="Calibri" w:cs="Calibri"/>
          <w:i/>
          <w:iCs/>
          <w:color w:val="auto"/>
          <w:sz w:val="22"/>
          <w:szCs w:val="22"/>
          <w:lang w:val="en-GB"/>
        </w:rPr>
        <w:t>Grand View Research, “Immersive Entertainment Europe 2024”</w:t>
      </w:r>
      <w:r w:rsidRPr="005368C4">
        <w:rPr>
          <w:rFonts w:ascii="Calibri" w:hAnsi="Calibri" w:cs="Calibri"/>
          <w:color w:val="auto"/>
          <w:sz w:val="22"/>
          <w:szCs w:val="22"/>
          <w:lang w:val="en-GB"/>
        </w:rPr>
        <w:t>). This strong upward trend highlights the increasing demand for engaging, technology-driven experiences, which are becoming central to industries such as education, retail, and entertainment.</w:t>
      </w:r>
    </w:p>
    <w:p w14:paraId="631D4BBD" w14:textId="77777777" w:rsidR="00445370" w:rsidRDefault="0098681E" w:rsidP="00445370">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color w:val="auto"/>
          <w:sz w:val="22"/>
          <w:szCs w:val="22"/>
          <w:lang w:val="en-GB"/>
        </w:rPr>
        <w:t>At MIR 2026, two standout original formats are confirmed, both of which drew significant attention and participation from professionals and attendees in previous editions. This comes within a global sector valued at $325 billion in 2024, with a 6.1% year-on-year growth, driven by live events, education, and corporate installations (</w:t>
      </w:r>
      <w:r w:rsidRPr="005368C4">
        <w:rPr>
          <w:rFonts w:ascii="Calibri" w:hAnsi="Calibri" w:cs="Calibri"/>
          <w:i/>
          <w:iCs/>
          <w:color w:val="auto"/>
          <w:sz w:val="22"/>
          <w:szCs w:val="22"/>
          <w:lang w:val="en-GB"/>
        </w:rPr>
        <w:t>source: AVIXA – Industry Outlook Trends Analysis 2024</w:t>
      </w:r>
      <w:r w:rsidRPr="005368C4">
        <w:rPr>
          <w:rFonts w:ascii="Calibri" w:hAnsi="Calibri" w:cs="Calibri"/>
          <w:color w:val="auto"/>
          <w:sz w:val="22"/>
          <w:szCs w:val="22"/>
          <w:lang w:val="en-GB"/>
        </w:rPr>
        <w:t>).</w:t>
      </w:r>
    </w:p>
    <w:p w14:paraId="0640D3AD" w14:textId="77777777" w:rsidR="00445370" w:rsidRDefault="0098681E" w:rsidP="00445370">
      <w:pPr>
        <w:pStyle w:val="Didefault"/>
        <w:numPr>
          <w:ilvl w:val="0"/>
          <w:numId w:val="7"/>
        </w:numPr>
        <w:spacing w:before="0" w:after="240" w:line="240" w:lineRule="auto"/>
        <w:jc w:val="both"/>
        <w:rPr>
          <w:rFonts w:ascii="Calibri" w:hAnsi="Calibri" w:cs="Calibri"/>
          <w:color w:val="auto"/>
          <w:sz w:val="22"/>
          <w:szCs w:val="22"/>
          <w:lang w:val="en-GB"/>
        </w:rPr>
      </w:pPr>
      <w:r w:rsidRPr="005368C4">
        <w:rPr>
          <w:rFonts w:ascii="Calibri" w:hAnsi="Calibri" w:cs="Calibri"/>
          <w:b/>
          <w:bCs/>
          <w:color w:val="auto"/>
          <w:sz w:val="22"/>
          <w:szCs w:val="22"/>
          <w:lang w:val="en-GB"/>
        </w:rPr>
        <w:lastRenderedPageBreak/>
        <w:t>Live You Play</w:t>
      </w:r>
      <w:r w:rsidRPr="005368C4">
        <w:rPr>
          <w:rFonts w:ascii="Calibri" w:hAnsi="Calibri" w:cs="Calibri"/>
          <w:color w:val="auto"/>
          <w:sz w:val="22"/>
          <w:szCs w:val="22"/>
          <w:lang w:val="en-GB"/>
        </w:rPr>
        <w:t xml:space="preserve"> returns with its proven immersive format, allowing visitors to test audio, video, and lighting systems in real performance conditions</w:t>
      </w:r>
      <w:r w:rsidRPr="005368C4">
        <w:rPr>
          <w:rFonts w:ascii="Calibri" w:hAnsi="Calibri" w:cs="Calibri"/>
          <w:b/>
          <w:bCs/>
          <w:color w:val="auto"/>
          <w:sz w:val="22"/>
          <w:szCs w:val="22"/>
          <w:lang w:val="en-GB"/>
        </w:rPr>
        <w:t>.</w:t>
      </w:r>
      <w:r w:rsidRPr="005368C4">
        <w:rPr>
          <w:rFonts w:ascii="Calibri" w:hAnsi="Calibri" w:cs="Calibri"/>
          <w:color w:val="auto"/>
          <w:sz w:val="22"/>
          <w:szCs w:val="22"/>
          <w:lang w:val="en-GB"/>
        </w:rPr>
        <w:t xml:space="preserve"> Also confirmed is the </w:t>
      </w:r>
      <w:r w:rsidRPr="005368C4">
        <w:rPr>
          <w:rFonts w:ascii="Calibri" w:hAnsi="Calibri" w:cs="Calibri"/>
          <w:b/>
          <w:bCs/>
          <w:color w:val="auto"/>
          <w:sz w:val="22"/>
          <w:szCs w:val="22"/>
          <w:lang w:val="en-GB"/>
        </w:rPr>
        <w:t>Sound Power</w:t>
      </w:r>
      <w:r w:rsidRPr="005368C4">
        <w:rPr>
          <w:rFonts w:ascii="Calibri" w:hAnsi="Calibri" w:cs="Calibri"/>
          <w:color w:val="auto"/>
          <w:sz w:val="22"/>
          <w:szCs w:val="22"/>
          <w:lang w:val="en-GB"/>
        </w:rPr>
        <w:t xml:space="preserve"> outdoor arena, introduced in 2025, which offers sound engineers, technicians, and service providers the opportunity to compare top-tier professional audio systems in realistic operational settings.</w:t>
      </w:r>
    </w:p>
    <w:p w14:paraId="7F5A8EEE" w14:textId="77777777" w:rsidR="00445370" w:rsidRDefault="0098681E" w:rsidP="00445370">
      <w:pPr>
        <w:pStyle w:val="Didefault"/>
        <w:numPr>
          <w:ilvl w:val="0"/>
          <w:numId w:val="7"/>
        </w:numPr>
        <w:spacing w:before="0" w:after="240" w:line="240" w:lineRule="auto"/>
        <w:jc w:val="both"/>
        <w:rPr>
          <w:rFonts w:ascii="Calibri" w:hAnsi="Calibri" w:cs="Calibri"/>
          <w:color w:val="auto"/>
          <w:sz w:val="22"/>
          <w:szCs w:val="22"/>
          <w:lang w:val="en-GB"/>
        </w:rPr>
      </w:pPr>
      <w:r w:rsidRPr="005368C4">
        <w:rPr>
          <w:rFonts w:ascii="Calibri" w:hAnsi="Calibri" w:cs="Calibri"/>
          <w:b/>
          <w:bCs/>
          <w:color w:val="auto"/>
          <w:sz w:val="22"/>
          <w:szCs w:val="22"/>
          <w:lang w:val="en-GB"/>
        </w:rPr>
        <w:t>MIR Club</w:t>
      </w:r>
      <w:r w:rsidRPr="005368C4">
        <w:rPr>
          <w:rFonts w:ascii="Calibri" w:hAnsi="Calibri" w:cs="Calibri"/>
          <w:color w:val="auto"/>
          <w:sz w:val="22"/>
          <w:szCs w:val="22"/>
          <w:lang w:val="en-GB"/>
        </w:rPr>
        <w:t xml:space="preserve">, now in its third edition, remains Europe’s only exhibition space dedicated to </w:t>
      </w:r>
      <w:r w:rsidRPr="005368C4">
        <w:rPr>
          <w:rFonts w:ascii="Calibri" w:hAnsi="Calibri" w:cs="Calibri"/>
          <w:b/>
          <w:bCs/>
          <w:color w:val="auto"/>
          <w:sz w:val="22"/>
          <w:szCs w:val="22"/>
          <w:lang w:val="en-GB"/>
        </w:rPr>
        <w:t>DJ and club culture</w:t>
      </w:r>
      <w:r w:rsidRPr="005368C4">
        <w:rPr>
          <w:rFonts w:ascii="Calibri" w:hAnsi="Calibri" w:cs="Calibri"/>
          <w:color w:val="auto"/>
          <w:sz w:val="22"/>
          <w:szCs w:val="22"/>
          <w:lang w:val="en-GB"/>
        </w:rPr>
        <w:t>. Developed in partnership with DJ Mag Italia, it combines the largest national showcase of DJ consoles and technologies with training program</w:t>
      </w:r>
      <w:r w:rsidR="005368C4" w:rsidRPr="005368C4">
        <w:rPr>
          <w:rFonts w:ascii="Calibri" w:hAnsi="Calibri" w:cs="Calibri"/>
          <w:color w:val="auto"/>
          <w:sz w:val="22"/>
          <w:szCs w:val="22"/>
          <w:lang w:val="en-GB"/>
        </w:rPr>
        <w:t>me</w:t>
      </w:r>
      <w:r w:rsidRPr="005368C4">
        <w:rPr>
          <w:rFonts w:ascii="Calibri" w:hAnsi="Calibri" w:cs="Calibri"/>
          <w:color w:val="auto"/>
          <w:sz w:val="22"/>
          <w:szCs w:val="22"/>
          <w:lang w:val="en-GB"/>
        </w:rPr>
        <w:t>s, networking opportunities, and meetings with artists, record labels, producers, and key figures in the music industry—creating a space where ideas, skills, and new projects converge</w:t>
      </w:r>
      <w:r w:rsidR="00445370">
        <w:rPr>
          <w:rFonts w:ascii="Calibri" w:hAnsi="Calibri" w:cs="Calibri"/>
          <w:color w:val="auto"/>
          <w:sz w:val="22"/>
          <w:szCs w:val="22"/>
          <w:lang w:val="en-GB"/>
        </w:rPr>
        <w:t>.</w:t>
      </w:r>
    </w:p>
    <w:p w14:paraId="6C93E2D5" w14:textId="77777777" w:rsidR="00445370" w:rsidRDefault="0098681E" w:rsidP="00445370">
      <w:pPr>
        <w:pStyle w:val="Didefault"/>
        <w:spacing w:before="0" w:after="240" w:line="240" w:lineRule="auto"/>
        <w:jc w:val="both"/>
        <w:rPr>
          <w:rFonts w:ascii="Calibri" w:hAnsi="Calibri" w:cs="Calibri"/>
          <w:color w:val="auto"/>
          <w:sz w:val="22"/>
          <w:szCs w:val="22"/>
          <w:lang w:val="en-GB"/>
        </w:rPr>
      </w:pPr>
      <w:r w:rsidRPr="005368C4">
        <w:rPr>
          <w:rFonts w:ascii="Calibri" w:hAnsi="Calibri" w:cs="Calibri"/>
          <w:sz w:val="22"/>
          <w:szCs w:val="22"/>
          <w:lang w:val="en-GB"/>
        </w:rPr>
        <w:t>Looking ahead, MIR 2026 will further strengthen its experiential format, featuring live demos, interactive stages, immersive rooms, and vertical pathways tailored to evolving markets. This evolution is made possible through strategic collaboration with industry associations, leading tech brands, and education partners, ensuring a dynamic and high-level environment where knowledge becomes opportunity—for business, relationships, and professional growth.</w:t>
      </w:r>
    </w:p>
    <w:p w14:paraId="77B1B66F" w14:textId="7CDAAFB6" w:rsidR="0098681E" w:rsidRPr="0098681E" w:rsidRDefault="0098681E" w:rsidP="00445370">
      <w:pPr>
        <w:pStyle w:val="Didefault"/>
        <w:spacing w:before="0" w:after="240" w:line="240" w:lineRule="auto"/>
        <w:jc w:val="both"/>
        <w:rPr>
          <w:rFonts w:ascii="Calibri" w:hAnsi="Calibri" w:cs="Calibri"/>
          <w:color w:val="auto"/>
          <w:sz w:val="22"/>
          <w:szCs w:val="22"/>
          <w:lang w:val="en-GB"/>
        </w:rPr>
      </w:pPr>
      <w:r w:rsidRPr="0098681E">
        <w:rPr>
          <w:rFonts w:ascii="Calibri" w:hAnsi="Calibri" w:cs="Calibri"/>
          <w:sz w:val="22"/>
          <w:szCs w:val="22"/>
          <w:lang w:val="en-GB"/>
        </w:rPr>
        <w:t xml:space="preserve">With its </w:t>
      </w:r>
      <w:r w:rsidRPr="0098681E">
        <w:rPr>
          <w:rFonts w:ascii="Calibri" w:hAnsi="Calibri" w:cs="Calibri"/>
          <w:b/>
          <w:bCs/>
          <w:sz w:val="22"/>
          <w:szCs w:val="22"/>
          <w:lang w:val="en-GB"/>
        </w:rPr>
        <w:t>innovative, immersive, and community-driven approach</w:t>
      </w:r>
      <w:r w:rsidRPr="0098681E">
        <w:rPr>
          <w:rFonts w:ascii="Calibri" w:hAnsi="Calibri" w:cs="Calibri"/>
          <w:sz w:val="22"/>
          <w:szCs w:val="22"/>
          <w:lang w:val="en-GB"/>
        </w:rPr>
        <w:t xml:space="preserve">, MIR redefines the trade show experience. It serves as a </w:t>
      </w:r>
      <w:r w:rsidRPr="0098681E">
        <w:rPr>
          <w:rFonts w:ascii="Calibri" w:hAnsi="Calibri" w:cs="Calibri"/>
          <w:b/>
          <w:bCs/>
          <w:sz w:val="22"/>
          <w:szCs w:val="22"/>
          <w:lang w:val="en-GB"/>
        </w:rPr>
        <w:t>platform</w:t>
      </w:r>
      <w:r w:rsidRPr="0098681E">
        <w:rPr>
          <w:rFonts w:ascii="Calibri" w:hAnsi="Calibri" w:cs="Calibri"/>
          <w:sz w:val="22"/>
          <w:szCs w:val="22"/>
          <w:lang w:val="en-GB"/>
        </w:rPr>
        <w:t xml:space="preserve"> where technological innovation meets professional development, fostering meaningful connections among industry stakeholders. An event designed not only for today’s professionals, but also for the next generation set to shape the future of the AV and entertainment sectors.</w:t>
      </w:r>
    </w:p>
    <w:bookmarkEnd w:id="0"/>
    <w:p w14:paraId="00B93C88" w14:textId="4CC017EC" w:rsidR="002F441B" w:rsidRPr="005368C4" w:rsidRDefault="002F441B" w:rsidP="002F441B">
      <w:pPr>
        <w:jc w:val="both"/>
        <w:rPr>
          <w:rFonts w:ascii="Calibri" w:hAnsi="Calibri" w:cs="Calibri"/>
          <w:sz w:val="22"/>
          <w:szCs w:val="22"/>
        </w:rPr>
      </w:pPr>
      <w:r w:rsidRPr="005368C4">
        <w:rPr>
          <w:rFonts w:ascii="Calibri" w:hAnsi="Calibri" w:cs="Calibri"/>
          <w:b/>
          <w:bCs/>
          <w:sz w:val="22"/>
          <w:szCs w:val="22"/>
        </w:rPr>
        <w:t>ABOUT MIR 2026</w:t>
      </w:r>
    </w:p>
    <w:p w14:paraId="5D53EC6B" w14:textId="6F2C5455" w:rsidR="002F441B" w:rsidRPr="005368C4" w:rsidRDefault="002F441B" w:rsidP="002F441B">
      <w:pPr>
        <w:jc w:val="both"/>
        <w:rPr>
          <w:rFonts w:ascii="Calibri" w:hAnsi="Calibri" w:cs="Calibri"/>
          <w:b/>
          <w:bCs/>
          <w:sz w:val="22"/>
          <w:szCs w:val="22"/>
        </w:rPr>
      </w:pPr>
      <w:r w:rsidRPr="005368C4">
        <w:rPr>
          <w:rFonts w:ascii="Calibri" w:hAnsi="Calibri" w:cs="Calibri"/>
          <w:b/>
          <w:bCs/>
          <w:sz w:val="22"/>
          <w:szCs w:val="22"/>
        </w:rPr>
        <w:t>Dat</w:t>
      </w:r>
      <w:r w:rsidR="0098681E" w:rsidRPr="005368C4">
        <w:rPr>
          <w:rFonts w:ascii="Calibri" w:hAnsi="Calibri" w:cs="Calibri"/>
          <w:b/>
          <w:bCs/>
          <w:sz w:val="22"/>
          <w:szCs w:val="22"/>
        </w:rPr>
        <w:t>e</w:t>
      </w:r>
      <w:r w:rsidRPr="005368C4">
        <w:rPr>
          <w:rFonts w:ascii="Calibri" w:hAnsi="Calibri" w:cs="Calibri"/>
          <w:sz w:val="22"/>
          <w:szCs w:val="22"/>
        </w:rPr>
        <w:t>: 12</w:t>
      </w:r>
      <w:r w:rsidR="0098681E" w:rsidRPr="005368C4">
        <w:rPr>
          <w:rFonts w:ascii="Calibri" w:hAnsi="Calibri" w:cs="Calibri"/>
          <w:sz w:val="22"/>
          <w:szCs w:val="22"/>
        </w:rPr>
        <w:t>-</w:t>
      </w:r>
      <w:r w:rsidRPr="005368C4">
        <w:rPr>
          <w:rFonts w:ascii="Calibri" w:hAnsi="Calibri" w:cs="Calibri"/>
          <w:sz w:val="22"/>
          <w:szCs w:val="22"/>
        </w:rPr>
        <w:t xml:space="preserve">14 </w:t>
      </w:r>
      <w:r w:rsidR="0098681E" w:rsidRPr="005368C4">
        <w:rPr>
          <w:rFonts w:ascii="Calibri" w:hAnsi="Calibri" w:cs="Calibri"/>
          <w:sz w:val="22"/>
          <w:szCs w:val="22"/>
        </w:rPr>
        <w:t>April</w:t>
      </w:r>
      <w:r w:rsidRPr="005368C4">
        <w:rPr>
          <w:rFonts w:ascii="Calibri" w:hAnsi="Calibri" w:cs="Calibri"/>
          <w:sz w:val="22"/>
          <w:szCs w:val="22"/>
        </w:rPr>
        <w:t xml:space="preserve">e 2026; </w:t>
      </w:r>
      <w:r w:rsidR="0098681E" w:rsidRPr="005368C4">
        <w:rPr>
          <w:rFonts w:ascii="Calibri" w:hAnsi="Calibri" w:cs="Calibri"/>
          <w:b/>
          <w:bCs/>
          <w:sz w:val="22"/>
          <w:szCs w:val="22"/>
        </w:rPr>
        <w:t>event type</w:t>
      </w:r>
      <w:r w:rsidRPr="005368C4">
        <w:rPr>
          <w:rFonts w:ascii="Calibri" w:hAnsi="Calibri" w:cs="Calibri"/>
          <w:sz w:val="22"/>
          <w:szCs w:val="22"/>
        </w:rPr>
        <w:t xml:space="preserve">: </w:t>
      </w:r>
      <w:r w:rsidR="0098681E" w:rsidRPr="005368C4">
        <w:rPr>
          <w:rFonts w:ascii="Calibri" w:hAnsi="Calibri" w:cs="Calibri"/>
          <w:sz w:val="22"/>
          <w:szCs w:val="22"/>
        </w:rPr>
        <w:t>international show</w:t>
      </w:r>
      <w:r w:rsidRPr="005368C4">
        <w:rPr>
          <w:rFonts w:ascii="Calibri" w:hAnsi="Calibri" w:cs="Calibri"/>
          <w:sz w:val="22"/>
          <w:szCs w:val="22"/>
        </w:rPr>
        <w:t xml:space="preserve">; </w:t>
      </w:r>
      <w:r w:rsidRPr="005368C4">
        <w:rPr>
          <w:rFonts w:ascii="Calibri" w:hAnsi="Calibri" w:cs="Calibri"/>
          <w:b/>
          <w:bCs/>
          <w:sz w:val="22"/>
          <w:szCs w:val="22"/>
        </w:rPr>
        <w:t>organi</w:t>
      </w:r>
      <w:r w:rsidR="0098681E" w:rsidRPr="005368C4">
        <w:rPr>
          <w:rFonts w:ascii="Calibri" w:hAnsi="Calibri" w:cs="Calibri"/>
          <w:b/>
          <w:bCs/>
          <w:sz w:val="22"/>
          <w:szCs w:val="22"/>
        </w:rPr>
        <w:t>ser</w:t>
      </w:r>
      <w:r w:rsidRPr="005368C4">
        <w:rPr>
          <w:rFonts w:ascii="Calibri" w:hAnsi="Calibri" w:cs="Calibri"/>
          <w:sz w:val="22"/>
          <w:szCs w:val="22"/>
        </w:rPr>
        <w:t xml:space="preserve">: Italian Exhibition Group S.p.A.; </w:t>
      </w:r>
      <w:r w:rsidR="0098681E" w:rsidRPr="005368C4">
        <w:rPr>
          <w:rFonts w:ascii="Calibri" w:hAnsi="Calibri" w:cs="Calibri"/>
          <w:b/>
          <w:bCs/>
          <w:sz w:val="22"/>
          <w:szCs w:val="22"/>
        </w:rPr>
        <w:t>frequency</w:t>
      </w:r>
      <w:r w:rsidRPr="005368C4">
        <w:rPr>
          <w:rFonts w:ascii="Calibri" w:hAnsi="Calibri" w:cs="Calibri"/>
          <w:sz w:val="22"/>
          <w:szCs w:val="22"/>
        </w:rPr>
        <w:t xml:space="preserve">: annual; </w:t>
      </w:r>
      <w:r w:rsidRPr="005368C4">
        <w:rPr>
          <w:rFonts w:ascii="Calibri" w:hAnsi="Calibri" w:cs="Calibri"/>
          <w:b/>
          <w:bCs/>
          <w:sz w:val="22"/>
          <w:szCs w:val="22"/>
        </w:rPr>
        <w:t>edi</w:t>
      </w:r>
      <w:r w:rsidR="0098681E" w:rsidRPr="005368C4">
        <w:rPr>
          <w:rFonts w:ascii="Calibri" w:hAnsi="Calibri" w:cs="Calibri"/>
          <w:b/>
          <w:bCs/>
          <w:sz w:val="22"/>
          <w:szCs w:val="22"/>
        </w:rPr>
        <w:t>tion</w:t>
      </w:r>
      <w:r w:rsidRPr="005368C4">
        <w:rPr>
          <w:rFonts w:ascii="Calibri" w:hAnsi="Calibri" w:cs="Calibri"/>
          <w:sz w:val="22"/>
          <w:szCs w:val="22"/>
        </w:rPr>
        <w:t xml:space="preserve">: </w:t>
      </w:r>
      <w:r w:rsidR="00236555" w:rsidRPr="005368C4">
        <w:rPr>
          <w:rFonts w:ascii="Calibri" w:hAnsi="Calibri" w:cs="Calibri"/>
          <w:sz w:val="22"/>
          <w:szCs w:val="22"/>
        </w:rPr>
        <w:t>9</w:t>
      </w:r>
      <w:r w:rsidR="0098681E" w:rsidRPr="005368C4">
        <w:rPr>
          <w:rFonts w:ascii="Calibri" w:hAnsi="Calibri" w:cs="Calibri"/>
          <w:sz w:val="22"/>
          <w:szCs w:val="22"/>
          <w:vertAlign w:val="superscript"/>
        </w:rPr>
        <w:t>th</w:t>
      </w:r>
      <w:r w:rsidRPr="005368C4">
        <w:rPr>
          <w:rFonts w:ascii="Calibri" w:hAnsi="Calibri" w:cs="Calibri"/>
          <w:sz w:val="22"/>
          <w:szCs w:val="22"/>
        </w:rPr>
        <w:t>;</w:t>
      </w:r>
      <w:r w:rsidR="0098681E" w:rsidRPr="005368C4">
        <w:rPr>
          <w:rFonts w:ascii="Calibri" w:hAnsi="Calibri" w:cs="Calibri"/>
          <w:b/>
          <w:bCs/>
          <w:sz w:val="22"/>
          <w:szCs w:val="22"/>
        </w:rPr>
        <w:t xml:space="preserve"> open to</w:t>
      </w:r>
      <w:r w:rsidRPr="005368C4">
        <w:rPr>
          <w:rFonts w:ascii="Calibri" w:hAnsi="Calibri" w:cs="Calibri"/>
          <w:sz w:val="22"/>
          <w:szCs w:val="22"/>
        </w:rPr>
        <w:t xml:space="preserve">: </w:t>
      </w:r>
      <w:proofErr w:type="gramStart"/>
      <w:r w:rsidR="0098681E" w:rsidRPr="005368C4">
        <w:rPr>
          <w:rFonts w:ascii="Calibri" w:hAnsi="Calibri" w:cs="Calibri"/>
          <w:sz w:val="22"/>
          <w:szCs w:val="22"/>
        </w:rPr>
        <w:t>general public</w:t>
      </w:r>
      <w:proofErr w:type="gramEnd"/>
      <w:r w:rsidR="0098681E" w:rsidRPr="005368C4">
        <w:rPr>
          <w:rFonts w:ascii="Calibri" w:hAnsi="Calibri" w:cs="Calibri"/>
          <w:sz w:val="22"/>
          <w:szCs w:val="22"/>
        </w:rPr>
        <w:t xml:space="preserve"> and industry professionals</w:t>
      </w:r>
      <w:r w:rsidRPr="005368C4">
        <w:rPr>
          <w:rFonts w:ascii="Calibri" w:hAnsi="Calibri" w:cs="Calibri"/>
          <w:sz w:val="22"/>
          <w:szCs w:val="22"/>
        </w:rPr>
        <w:t xml:space="preserve">; </w:t>
      </w:r>
      <w:r w:rsidRPr="005368C4">
        <w:rPr>
          <w:rFonts w:ascii="Calibri" w:hAnsi="Calibri" w:cs="Calibri"/>
          <w:b/>
          <w:bCs/>
          <w:sz w:val="22"/>
          <w:szCs w:val="22"/>
        </w:rPr>
        <w:t>info</w:t>
      </w:r>
      <w:r w:rsidRPr="005368C4">
        <w:rPr>
          <w:rFonts w:ascii="Calibri" w:hAnsi="Calibri" w:cs="Calibri"/>
          <w:sz w:val="22"/>
          <w:szCs w:val="22"/>
        </w:rPr>
        <w:t xml:space="preserve">: </w:t>
      </w:r>
      <w:hyperlink r:id="rId9" w:history="1">
        <w:r w:rsidR="00522D99" w:rsidRPr="005368C4">
          <w:rPr>
            <w:rStyle w:val="Collegamentoipertestuale"/>
            <w:rFonts w:ascii="Calibri" w:hAnsi="Calibri" w:cs="Calibri"/>
            <w:sz w:val="22"/>
            <w:szCs w:val="22"/>
          </w:rPr>
          <w:t>www.mirtechexpo.com</w:t>
        </w:r>
      </w:hyperlink>
      <w:r w:rsidR="00522D99" w:rsidRPr="005368C4">
        <w:rPr>
          <w:rFonts w:ascii="Calibri" w:hAnsi="Calibri" w:cs="Calibri"/>
          <w:sz w:val="22"/>
          <w:szCs w:val="22"/>
        </w:rPr>
        <w:t xml:space="preserve"> </w:t>
      </w:r>
      <w:r w:rsidRPr="005368C4">
        <w:rPr>
          <w:rFonts w:ascii="Calibri" w:hAnsi="Calibri" w:cs="Calibri"/>
          <w:b/>
          <w:bCs/>
          <w:sz w:val="22"/>
          <w:szCs w:val="22"/>
        </w:rPr>
        <w:t>           </w:t>
      </w:r>
    </w:p>
    <w:p w14:paraId="77A1BBDB" w14:textId="77777777" w:rsidR="002F441B" w:rsidRPr="005368C4" w:rsidRDefault="002F441B" w:rsidP="002F441B">
      <w:pPr>
        <w:jc w:val="both"/>
        <w:rPr>
          <w:rFonts w:ascii="Calibri" w:hAnsi="Calibri" w:cs="Calibri"/>
          <w:b/>
          <w:bCs/>
          <w:sz w:val="22"/>
          <w:szCs w:val="22"/>
        </w:rPr>
      </w:pPr>
    </w:p>
    <w:p w14:paraId="12B0B6F3" w14:textId="77777777" w:rsidR="002F441B" w:rsidRPr="005368C4" w:rsidRDefault="002F441B" w:rsidP="002F441B">
      <w:pPr>
        <w:jc w:val="both"/>
        <w:rPr>
          <w:rFonts w:ascii="Calibri" w:hAnsi="Calibri" w:cs="Calibri"/>
          <w:sz w:val="22"/>
          <w:szCs w:val="22"/>
        </w:rPr>
      </w:pPr>
      <w:r w:rsidRPr="005368C4">
        <w:rPr>
          <w:rFonts w:ascii="Calibri" w:hAnsi="Calibri" w:cs="Calibri"/>
          <w:b/>
          <w:bCs/>
          <w:sz w:val="22"/>
          <w:szCs w:val="22"/>
        </w:rPr>
        <w:t xml:space="preserve">    </w:t>
      </w:r>
    </w:p>
    <w:p w14:paraId="20673B75" w14:textId="6EB57EE9" w:rsidR="002F441B" w:rsidRPr="005368C4" w:rsidRDefault="002C20AF" w:rsidP="002F441B">
      <w:pPr>
        <w:ind w:right="367"/>
        <w:rPr>
          <w:rFonts w:ascii="Calibri" w:hAnsi="Calibri" w:cs="Calibri"/>
          <w:b/>
          <w:bCs/>
          <w:sz w:val="22"/>
          <w:szCs w:val="22"/>
          <w:shd w:val="clear" w:color="auto" w:fill="FFFFFF"/>
        </w:rPr>
      </w:pPr>
      <w:r>
        <w:rPr>
          <w:rFonts w:ascii="Calibri" w:hAnsi="Calibri" w:cs="Calibri"/>
          <w:b/>
          <w:bCs/>
          <w:noProof/>
          <w:sz w:val="22"/>
          <w:szCs w:val="22"/>
          <w:shd w:val="clear" w:color="auto" w:fill="FFFFFF"/>
        </w:rPr>
        <w:drawing>
          <wp:inline distT="0" distB="0" distL="0" distR="0" wp14:anchorId="43D2A036" wp14:editId="7508DD3B">
            <wp:extent cx="5821680" cy="1819879"/>
            <wp:effectExtent l="0" t="0" r="0" b="9525"/>
            <wp:docPr id="1364742804" name="Immagine 1"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42804" name="Immagine 1" descr="Immagine che contiene testo, Carattere, schermata&#10;&#10;Il contenuto generato dall'IA potrebbe non essere corret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36502" cy="1824513"/>
                    </a:xfrm>
                    <a:prstGeom prst="rect">
                      <a:avLst/>
                    </a:prstGeom>
                  </pic:spPr>
                </pic:pic>
              </a:graphicData>
            </a:graphic>
          </wp:inline>
        </w:drawing>
      </w:r>
    </w:p>
    <w:p w14:paraId="3360AD4E" w14:textId="77777777" w:rsidR="002F441B" w:rsidRPr="005368C4" w:rsidRDefault="002F441B" w:rsidP="002F441B">
      <w:pPr>
        <w:autoSpaceDE w:val="0"/>
        <w:autoSpaceDN w:val="0"/>
        <w:ind w:right="367"/>
        <w:jc w:val="both"/>
        <w:rPr>
          <w:rFonts w:ascii="Calibri" w:hAnsi="Calibri" w:cs="Calibri"/>
          <w:b/>
          <w:bCs/>
          <w:sz w:val="22"/>
          <w:szCs w:val="22"/>
        </w:rPr>
      </w:pPr>
    </w:p>
    <w:p w14:paraId="1EE54CD9" w14:textId="77777777" w:rsidR="002F441B" w:rsidRPr="005368C4" w:rsidRDefault="002F441B" w:rsidP="002F441B">
      <w:pPr>
        <w:autoSpaceDE w:val="0"/>
        <w:autoSpaceDN w:val="0"/>
        <w:ind w:right="367"/>
        <w:jc w:val="both"/>
        <w:rPr>
          <w:rFonts w:ascii="Calibri" w:hAnsi="Calibri" w:cs="Calibri"/>
          <w:b/>
          <w:bCs/>
          <w:sz w:val="22"/>
          <w:szCs w:val="22"/>
        </w:rPr>
      </w:pPr>
    </w:p>
    <w:p w14:paraId="5DC1ED8F" w14:textId="61FC7E6B" w:rsidR="002F441B" w:rsidRPr="005368C4" w:rsidRDefault="002F441B" w:rsidP="001615D6">
      <w:pPr>
        <w:autoSpaceDE w:val="0"/>
        <w:autoSpaceDN w:val="0"/>
        <w:rPr>
          <w:rFonts w:ascii="Calibri" w:hAnsi="Calibri" w:cs="Calibri"/>
          <w:sz w:val="22"/>
          <w:szCs w:val="22"/>
        </w:rPr>
      </w:pPr>
      <w:r w:rsidRPr="005368C4">
        <w:rPr>
          <w:rFonts w:ascii="Calibri" w:hAnsi="Calibri" w:cs="Calibri"/>
          <w:b/>
          <w:bCs/>
          <w:sz w:val="22"/>
          <w:szCs w:val="22"/>
        </w:rPr>
        <w:t>PRESS CONTACT ITALIAN EXHIBITION GROUP</w:t>
      </w:r>
      <w:r w:rsidRPr="005368C4">
        <w:rPr>
          <w:rFonts w:ascii="Calibri" w:hAnsi="Calibri" w:cs="Calibri"/>
          <w:b/>
          <w:bCs/>
          <w:sz w:val="22"/>
          <w:szCs w:val="22"/>
        </w:rPr>
        <w:br/>
        <w:t>head of corporate communication &amp; media relation:</w:t>
      </w:r>
      <w:r w:rsidRPr="005368C4">
        <w:rPr>
          <w:rFonts w:ascii="Calibri" w:hAnsi="Calibri" w:cs="Calibri"/>
          <w:sz w:val="22"/>
          <w:szCs w:val="22"/>
        </w:rPr>
        <w:t xml:space="preserve"> Elisabetta Vitali</w:t>
      </w:r>
      <w:r w:rsidRPr="005368C4">
        <w:rPr>
          <w:rFonts w:ascii="Calibri" w:hAnsi="Calibri" w:cs="Calibri"/>
          <w:sz w:val="22"/>
          <w:szCs w:val="22"/>
        </w:rPr>
        <w:br/>
      </w:r>
      <w:r w:rsidRPr="005368C4">
        <w:rPr>
          <w:rFonts w:ascii="Calibri" w:hAnsi="Calibri" w:cs="Calibri"/>
          <w:b/>
          <w:bCs/>
          <w:sz w:val="22"/>
          <w:szCs w:val="22"/>
        </w:rPr>
        <w:t>press office manager</w:t>
      </w:r>
      <w:r w:rsidRPr="005368C4">
        <w:rPr>
          <w:rFonts w:ascii="Calibri" w:hAnsi="Calibri" w:cs="Calibri"/>
          <w:sz w:val="22"/>
          <w:szCs w:val="22"/>
        </w:rPr>
        <w:t xml:space="preserve">: Marco Forcellini, Pier Francesco Bellini | </w:t>
      </w:r>
      <w:r w:rsidRPr="005368C4">
        <w:rPr>
          <w:rFonts w:ascii="Calibri" w:hAnsi="Calibri" w:cs="Calibri"/>
          <w:b/>
          <w:bCs/>
          <w:sz w:val="22"/>
          <w:szCs w:val="22"/>
        </w:rPr>
        <w:t>press office coordinator</w:t>
      </w:r>
      <w:r w:rsidRPr="005368C4">
        <w:rPr>
          <w:rFonts w:ascii="Calibri" w:hAnsi="Calibri" w:cs="Calibri"/>
          <w:sz w:val="22"/>
          <w:szCs w:val="22"/>
        </w:rPr>
        <w:t xml:space="preserve">: Luca Paganin | </w:t>
      </w:r>
      <w:r w:rsidRPr="005368C4">
        <w:rPr>
          <w:rFonts w:ascii="Calibri" w:hAnsi="Calibri" w:cs="Calibri"/>
          <w:b/>
          <w:bCs/>
          <w:sz w:val="22"/>
          <w:szCs w:val="22"/>
        </w:rPr>
        <w:t xml:space="preserve">international press office coordinator: </w:t>
      </w:r>
      <w:r w:rsidRPr="005368C4">
        <w:rPr>
          <w:rFonts w:ascii="Calibri" w:hAnsi="Calibri" w:cs="Calibri"/>
          <w:sz w:val="22"/>
          <w:szCs w:val="22"/>
        </w:rPr>
        <w:t xml:space="preserve">Silvia Giorgi | </w:t>
      </w:r>
      <w:r w:rsidRPr="005368C4">
        <w:rPr>
          <w:rFonts w:ascii="Calibri" w:hAnsi="Calibri" w:cs="Calibri"/>
          <w:b/>
          <w:bCs/>
          <w:sz w:val="22"/>
          <w:szCs w:val="22"/>
        </w:rPr>
        <w:t>press office specialist:</w:t>
      </w:r>
      <w:r w:rsidRPr="005368C4">
        <w:rPr>
          <w:rFonts w:ascii="Calibri" w:hAnsi="Calibri" w:cs="Calibri"/>
          <w:sz w:val="22"/>
          <w:szCs w:val="22"/>
        </w:rPr>
        <w:t xml:space="preserve"> Mirko Malgieri; Nicoletta Evangelisti</w:t>
      </w:r>
      <w:r w:rsidR="00FD155D" w:rsidRPr="005368C4">
        <w:rPr>
          <w:rFonts w:ascii="Calibri" w:hAnsi="Calibri" w:cs="Calibri"/>
          <w:sz w:val="22"/>
          <w:szCs w:val="22"/>
        </w:rPr>
        <w:t>,</w:t>
      </w:r>
      <w:r w:rsidRPr="005368C4">
        <w:rPr>
          <w:rFonts w:ascii="Calibri" w:hAnsi="Calibri" w:cs="Calibri"/>
          <w:sz w:val="22"/>
          <w:szCs w:val="22"/>
        </w:rPr>
        <w:t> </w:t>
      </w:r>
      <w:hyperlink r:id="rId11" w:tooltip="web site" w:history="1">
        <w:r w:rsidRPr="005368C4">
          <w:rPr>
            <w:rStyle w:val="Collegamentoipertestuale"/>
            <w:rFonts w:ascii="Calibri" w:hAnsi="Calibri" w:cs="Calibri"/>
            <w:sz w:val="22"/>
            <w:szCs w:val="22"/>
          </w:rPr>
          <w:t>media@iegexpo.it</w:t>
        </w:r>
      </w:hyperlink>
    </w:p>
    <w:p w14:paraId="7B1FAF49" w14:textId="77777777" w:rsidR="002F441B" w:rsidRPr="005368C4" w:rsidRDefault="002F441B" w:rsidP="002F441B">
      <w:pPr>
        <w:autoSpaceDE w:val="0"/>
        <w:autoSpaceDN w:val="0"/>
        <w:jc w:val="both"/>
        <w:rPr>
          <w:rFonts w:ascii="Calibri" w:hAnsi="Calibri" w:cs="Calibri"/>
          <w:sz w:val="22"/>
          <w:szCs w:val="22"/>
        </w:rPr>
      </w:pPr>
    </w:p>
    <w:p w14:paraId="35E24964" w14:textId="77777777" w:rsidR="00EB7F4B" w:rsidRPr="00EB7F4B" w:rsidRDefault="00EB7F4B" w:rsidP="00EB7F4B">
      <w:pPr>
        <w:jc w:val="both"/>
        <w:rPr>
          <w:rFonts w:ascii="Calibri" w:hAnsi="Calibri" w:cs="Calibri"/>
          <w:sz w:val="16"/>
          <w:szCs w:val="16"/>
        </w:rPr>
      </w:pPr>
      <w:r w:rsidRPr="00EB7F4B">
        <w:rPr>
          <w:rFonts w:ascii="Calibri" w:hAnsi="Calibri" w:cs="Calibri"/>
          <w:sz w:val="16"/>
          <w:szCs w:val="16"/>
        </w:rPr>
        <w:t xml:space="preserve">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w:t>
      </w:r>
      <w:proofErr w:type="gramStart"/>
      <w:r w:rsidRPr="00EB7F4B">
        <w:rPr>
          <w:rFonts w:ascii="Calibri" w:hAnsi="Calibri" w:cs="Calibri"/>
          <w:sz w:val="16"/>
          <w:szCs w:val="16"/>
        </w:rPr>
        <w:t>complete, and</w:t>
      </w:r>
      <w:proofErr w:type="gramEnd"/>
      <w:r w:rsidRPr="00EB7F4B">
        <w:rPr>
          <w:rFonts w:ascii="Calibri" w:hAnsi="Calibri" w:cs="Calibri"/>
          <w:sz w:val="16"/>
          <w:szCs w:val="16"/>
        </w:rPr>
        <w:t xml:space="preserve"> has not been verified by independent third parties. Forecasts, estimates and objectives contained herein are based on the information available to the Company as at the date of this release. </w:t>
      </w:r>
    </w:p>
    <w:p w14:paraId="1E35887F" w14:textId="77777777" w:rsidR="002F441B" w:rsidRPr="005368C4" w:rsidRDefault="002F441B" w:rsidP="002F441B">
      <w:pPr>
        <w:pStyle w:val="CorpoA"/>
        <w:jc w:val="both"/>
        <w:rPr>
          <w:rFonts w:ascii="Calibri" w:hAnsi="Calibri" w:cs="Calibri"/>
          <w:sz w:val="22"/>
          <w:szCs w:val="22"/>
          <w:lang w:val="en-GB"/>
        </w:rPr>
      </w:pPr>
    </w:p>
    <w:p w14:paraId="79E519AC" w14:textId="2CECFF11" w:rsidR="006D755A" w:rsidRPr="005368C4" w:rsidRDefault="006D755A" w:rsidP="009B7299">
      <w:pPr>
        <w:pStyle w:val="Didefault"/>
        <w:suppressAutoHyphens/>
        <w:spacing w:before="0" w:after="240" w:line="240" w:lineRule="auto"/>
        <w:jc w:val="both"/>
        <w:rPr>
          <w:rFonts w:ascii="Calibri" w:hAnsi="Calibri" w:cs="Calibri"/>
          <w:color w:val="auto"/>
          <w:sz w:val="22"/>
          <w:szCs w:val="22"/>
          <w:lang w:val="en-GB"/>
        </w:rPr>
      </w:pPr>
    </w:p>
    <w:sectPr w:rsidR="006D755A" w:rsidRPr="005368C4">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A812" w14:textId="77777777" w:rsidR="00B848B9" w:rsidRDefault="00B848B9">
      <w:r>
        <w:separator/>
      </w:r>
    </w:p>
  </w:endnote>
  <w:endnote w:type="continuationSeparator" w:id="0">
    <w:p w14:paraId="19A80701" w14:textId="77777777" w:rsidR="00B848B9" w:rsidRDefault="00B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01"/>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3692" w14:textId="77777777" w:rsidR="006D755A" w:rsidRDefault="006D755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F5934" w14:textId="77777777" w:rsidR="00B848B9" w:rsidRDefault="00B848B9">
      <w:r>
        <w:separator/>
      </w:r>
    </w:p>
  </w:footnote>
  <w:footnote w:type="continuationSeparator" w:id="0">
    <w:p w14:paraId="3702BE95" w14:textId="77777777" w:rsidR="00B848B9" w:rsidRDefault="00B8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0BD9" w14:textId="77777777" w:rsidR="006D755A" w:rsidRDefault="006D755A">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07A82"/>
    <w:multiLevelType w:val="hybridMultilevel"/>
    <w:tmpl w:val="3ABE1BE8"/>
    <w:styleLink w:val="Puntoelenco1"/>
    <w:lvl w:ilvl="0" w:tplc="0A06EBC6">
      <w:start w:val="1"/>
      <w:numFmt w:val="bullet"/>
      <w:lvlText w:val="•"/>
      <w:lvlJc w:val="left"/>
      <w:pPr>
        <w:ind w:left="19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1" w:tplc="CD5A8A94">
      <w:start w:val="1"/>
      <w:numFmt w:val="bullet"/>
      <w:lvlText w:val="•"/>
      <w:lvlJc w:val="left"/>
      <w:pPr>
        <w:ind w:left="37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2" w:tplc="BFB06EF2">
      <w:start w:val="1"/>
      <w:numFmt w:val="bullet"/>
      <w:lvlText w:val="•"/>
      <w:lvlJc w:val="left"/>
      <w:pPr>
        <w:ind w:left="55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3" w:tplc="95ECF158">
      <w:start w:val="1"/>
      <w:numFmt w:val="bullet"/>
      <w:lvlText w:val="•"/>
      <w:lvlJc w:val="left"/>
      <w:pPr>
        <w:ind w:left="73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4" w:tplc="474202A2">
      <w:start w:val="1"/>
      <w:numFmt w:val="bullet"/>
      <w:lvlText w:val="•"/>
      <w:lvlJc w:val="left"/>
      <w:pPr>
        <w:ind w:left="91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5" w:tplc="70560CFC">
      <w:start w:val="1"/>
      <w:numFmt w:val="bullet"/>
      <w:lvlText w:val="•"/>
      <w:lvlJc w:val="left"/>
      <w:pPr>
        <w:ind w:left="109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6" w:tplc="6B2C0D70">
      <w:start w:val="1"/>
      <w:numFmt w:val="bullet"/>
      <w:lvlText w:val="•"/>
      <w:lvlJc w:val="left"/>
      <w:pPr>
        <w:ind w:left="127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7" w:tplc="E424F87C">
      <w:start w:val="1"/>
      <w:numFmt w:val="bullet"/>
      <w:lvlText w:val="•"/>
      <w:lvlJc w:val="left"/>
      <w:pPr>
        <w:ind w:left="145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lvl w:ilvl="8" w:tplc="3398D5B6">
      <w:start w:val="1"/>
      <w:numFmt w:val="bullet"/>
      <w:lvlText w:val="•"/>
      <w:lvlJc w:val="left"/>
      <w:pPr>
        <w:ind w:left="1636" w:hanging="196"/>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E13003"/>
    <w:multiLevelType w:val="hybridMultilevel"/>
    <w:tmpl w:val="5F4A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15681"/>
    <w:multiLevelType w:val="hybridMultilevel"/>
    <w:tmpl w:val="3ABE1BE8"/>
    <w:numStyleLink w:val="Puntoelenco1"/>
  </w:abstractNum>
  <w:num w:numId="1" w16cid:durableId="1376350225">
    <w:abstractNumId w:val="0"/>
  </w:num>
  <w:num w:numId="2" w16cid:durableId="165563005">
    <w:abstractNumId w:val="2"/>
  </w:num>
  <w:num w:numId="3" w16cid:durableId="231045061">
    <w:abstractNumId w:val="2"/>
    <w:lvlOverride w:ilvl="0">
      <w:lvl w:ilvl="0" w:tplc="7C1E2DBA">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D4118A">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C88C9A">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202E04">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FC847E">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16D6E2">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14C5B4">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7A4184">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D28510">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2107536052">
    <w:abstractNumId w:val="2"/>
    <w:lvlOverride w:ilvl="0">
      <w:lvl w:ilvl="0" w:tplc="7C1E2DBA">
        <w:start w:val="1"/>
        <w:numFmt w:val="bullet"/>
        <w:lvlText w:val="•"/>
        <w:lvlJc w:val="left"/>
        <w:pPr>
          <w:ind w:left="72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7D4118A">
        <w:start w:val="1"/>
        <w:numFmt w:val="bullet"/>
        <w:lvlText w:val="•"/>
        <w:lvlJc w:val="left"/>
        <w:pPr>
          <w:ind w:left="94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1FC88C9A">
        <w:start w:val="1"/>
        <w:numFmt w:val="bullet"/>
        <w:lvlText w:val="•"/>
        <w:lvlJc w:val="left"/>
        <w:pPr>
          <w:ind w:left="116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8C202E04">
        <w:start w:val="1"/>
        <w:numFmt w:val="bullet"/>
        <w:lvlText w:val="•"/>
        <w:lvlJc w:val="left"/>
        <w:pPr>
          <w:ind w:left="138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4FC847E">
        <w:start w:val="1"/>
        <w:numFmt w:val="bullet"/>
        <w:lvlText w:val="•"/>
        <w:lvlJc w:val="left"/>
        <w:pPr>
          <w:ind w:left="160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316D6E2">
        <w:start w:val="1"/>
        <w:numFmt w:val="bullet"/>
        <w:lvlText w:val="•"/>
        <w:lvlJc w:val="left"/>
        <w:pPr>
          <w:ind w:left="182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614C5B4">
        <w:start w:val="1"/>
        <w:numFmt w:val="bullet"/>
        <w:lvlText w:val="•"/>
        <w:lvlJc w:val="left"/>
        <w:pPr>
          <w:ind w:left="204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D7A4184">
        <w:start w:val="1"/>
        <w:numFmt w:val="bullet"/>
        <w:lvlText w:val="•"/>
        <w:lvlJc w:val="left"/>
        <w:pPr>
          <w:ind w:left="226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BD28510">
        <w:start w:val="1"/>
        <w:numFmt w:val="bullet"/>
        <w:lvlText w:val="•"/>
        <w:lvlJc w:val="left"/>
        <w:pPr>
          <w:ind w:left="2480" w:hanging="500"/>
        </w:pPr>
        <w:rPr>
          <w:rFonts w:ascii="Times Roman" w:eastAsia="Times Roman" w:hAnsi="Times Roman" w:cs="Times Roman"/>
          <w:b w:val="0"/>
          <w:bCs w:val="0"/>
          <w:i/>
          <w:iCs/>
          <w:caps w:val="0"/>
          <w:smallCaps w:val="0"/>
          <w:strike w:val="0"/>
          <w:dstrike w:val="0"/>
          <w:outline w:val="0"/>
          <w:emboss w:val="0"/>
          <w:imprint w:val="0"/>
          <w:spacing w:val="0"/>
          <w:w w:val="100"/>
          <w:kern w:val="0"/>
          <w:position w:val="0"/>
          <w:highlight w:val="none"/>
          <w:vertAlign w:val="baseline"/>
        </w:rPr>
      </w:lvl>
    </w:lvlOverride>
  </w:num>
  <w:num w:numId="5" w16cid:durableId="430513926">
    <w:abstractNumId w:val="2"/>
  </w:num>
  <w:num w:numId="6" w16cid:durableId="1421027958">
    <w:abstractNumId w:val="2"/>
    <w:lvlOverride w:ilvl="0">
      <w:lvl w:ilvl="0" w:tplc="7C1E2DBA">
        <w:start w:val="1"/>
        <w:numFmt w:val="decimal"/>
        <w:lvlText w:val="•"/>
        <w:lvlJc w:val="left"/>
        <w:pPr>
          <w:ind w:left="196"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A7D4118A">
        <w:start w:val="1"/>
        <w:numFmt w:val="decimal"/>
        <w:lvlText w:val="•"/>
        <w:lvlJc w:val="left"/>
        <w:pPr>
          <w:ind w:left="94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FC88C9A">
        <w:start w:val="1"/>
        <w:numFmt w:val="decimal"/>
        <w:lvlText w:val="•"/>
        <w:lvlJc w:val="left"/>
        <w:pPr>
          <w:ind w:left="116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C202E04">
        <w:start w:val="1"/>
        <w:numFmt w:val="decimal"/>
        <w:lvlText w:val="•"/>
        <w:lvlJc w:val="left"/>
        <w:pPr>
          <w:ind w:left="138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4FC847E">
        <w:start w:val="1"/>
        <w:numFmt w:val="decimal"/>
        <w:lvlText w:val="•"/>
        <w:lvlJc w:val="left"/>
        <w:pPr>
          <w:ind w:left="160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316D6E2">
        <w:start w:val="1"/>
        <w:numFmt w:val="decimal"/>
        <w:lvlText w:val="•"/>
        <w:lvlJc w:val="left"/>
        <w:pPr>
          <w:ind w:left="182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4614C5B4">
        <w:start w:val="1"/>
        <w:numFmt w:val="decimal"/>
        <w:lvlText w:val="•"/>
        <w:lvlJc w:val="left"/>
        <w:pPr>
          <w:ind w:left="204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D7A4184">
        <w:start w:val="1"/>
        <w:numFmt w:val="decimal"/>
        <w:lvlText w:val="•"/>
        <w:lvlJc w:val="left"/>
        <w:pPr>
          <w:ind w:left="226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BD28510">
        <w:start w:val="1"/>
        <w:numFmt w:val="decimal"/>
        <w:lvlText w:val="•"/>
        <w:lvlJc w:val="left"/>
        <w:pPr>
          <w:ind w:left="248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16cid:durableId="204262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5A"/>
    <w:rsid w:val="001615D6"/>
    <w:rsid w:val="001670FA"/>
    <w:rsid w:val="001A37CA"/>
    <w:rsid w:val="00211DB7"/>
    <w:rsid w:val="00236555"/>
    <w:rsid w:val="002379D9"/>
    <w:rsid w:val="002C20AF"/>
    <w:rsid w:val="002F441B"/>
    <w:rsid w:val="00445370"/>
    <w:rsid w:val="00462251"/>
    <w:rsid w:val="00522D99"/>
    <w:rsid w:val="005368C4"/>
    <w:rsid w:val="00536D27"/>
    <w:rsid w:val="005A792F"/>
    <w:rsid w:val="005F097F"/>
    <w:rsid w:val="006621E1"/>
    <w:rsid w:val="006C7B31"/>
    <w:rsid w:val="006D1A5E"/>
    <w:rsid w:val="006D755A"/>
    <w:rsid w:val="00701A9C"/>
    <w:rsid w:val="00735242"/>
    <w:rsid w:val="00816615"/>
    <w:rsid w:val="00844257"/>
    <w:rsid w:val="008B5AC4"/>
    <w:rsid w:val="008C74E8"/>
    <w:rsid w:val="009000FF"/>
    <w:rsid w:val="00900E28"/>
    <w:rsid w:val="0098681E"/>
    <w:rsid w:val="009B7299"/>
    <w:rsid w:val="00A25182"/>
    <w:rsid w:val="00AD186D"/>
    <w:rsid w:val="00AD27A3"/>
    <w:rsid w:val="00B352D6"/>
    <w:rsid w:val="00B848B9"/>
    <w:rsid w:val="00C877E6"/>
    <w:rsid w:val="00CB08AF"/>
    <w:rsid w:val="00CD3BC1"/>
    <w:rsid w:val="00E03FFB"/>
    <w:rsid w:val="00E042DB"/>
    <w:rsid w:val="00EB7F4B"/>
    <w:rsid w:val="00FD155D"/>
    <w:rsid w:val="00FD6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0CE2"/>
  <w15:docId w15:val="{93E26A10-FB0E-4630-B910-C2E07035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numbering" w:customStyle="1" w:styleId="Puntoelenco1">
    <w:name w:val="Punto elenco1"/>
    <w:pPr>
      <w:numPr>
        <w:numId w:val="1"/>
      </w:numPr>
    </w:pPr>
  </w:style>
  <w:style w:type="character" w:customStyle="1" w:styleId="Hyperlink0">
    <w:name w:val="Hyperlink.0"/>
    <w:basedOn w:val="Collegamentoipertestuale"/>
    <w:rPr>
      <w:outline w:val="0"/>
      <w:color w:val="0000FF"/>
      <w:u w:val="single" w:color="0000FF"/>
    </w:rPr>
  </w:style>
  <w:style w:type="paragraph" w:customStyle="1" w:styleId="CorpoA">
    <w:name w:val="Corpo A"/>
    <w:rsid w:val="002F441B"/>
    <w:rPr>
      <w:rFonts w:cs="Arial Unicode MS"/>
      <w:color w:val="000000"/>
      <w:sz w:val="24"/>
      <w:szCs w:val="24"/>
      <w:u w:color="000000"/>
      <w14:textOutline w14:w="12700" w14:cap="flat" w14:cmpd="sng" w14:algn="ctr">
        <w14:noFill/>
        <w14:prstDash w14:val="solid"/>
        <w14:miter w14:lim="400000"/>
      </w14:textOutline>
    </w:rPr>
  </w:style>
  <w:style w:type="character" w:styleId="Menzionenonrisolta">
    <w:name w:val="Unresolved Mention"/>
    <w:basedOn w:val="Carpredefinitoparagrafo"/>
    <w:uiPriority w:val="99"/>
    <w:semiHidden/>
    <w:unhideWhenUsed/>
    <w:rsid w:val="00522D99"/>
    <w:rPr>
      <w:color w:val="605E5C"/>
      <w:shd w:val="clear" w:color="auto" w:fill="E1DFDD"/>
    </w:rPr>
  </w:style>
  <w:style w:type="paragraph" w:styleId="NormaleWeb">
    <w:name w:val="Normal (Web)"/>
    <w:basedOn w:val="Normale"/>
    <w:uiPriority w:val="99"/>
    <w:semiHidden/>
    <w:unhideWhenUsed/>
    <w:rsid w:val="0098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2942">
      <w:bodyDiv w:val="1"/>
      <w:marLeft w:val="0"/>
      <w:marRight w:val="0"/>
      <w:marTop w:val="0"/>
      <w:marBottom w:val="0"/>
      <w:divBdr>
        <w:top w:val="none" w:sz="0" w:space="0" w:color="auto"/>
        <w:left w:val="none" w:sz="0" w:space="0" w:color="auto"/>
        <w:bottom w:val="none" w:sz="0" w:space="0" w:color="auto"/>
        <w:right w:val="none" w:sz="0" w:space="0" w:color="auto"/>
      </w:divBdr>
    </w:div>
    <w:div w:id="540941042">
      <w:bodyDiv w:val="1"/>
      <w:marLeft w:val="0"/>
      <w:marRight w:val="0"/>
      <w:marTop w:val="0"/>
      <w:marBottom w:val="0"/>
      <w:divBdr>
        <w:top w:val="none" w:sz="0" w:space="0" w:color="auto"/>
        <w:left w:val="none" w:sz="0" w:space="0" w:color="auto"/>
        <w:bottom w:val="none" w:sz="0" w:space="0" w:color="auto"/>
        <w:right w:val="none" w:sz="0" w:space="0" w:color="auto"/>
      </w:divBdr>
    </w:div>
    <w:div w:id="640039845">
      <w:bodyDiv w:val="1"/>
      <w:marLeft w:val="0"/>
      <w:marRight w:val="0"/>
      <w:marTop w:val="0"/>
      <w:marBottom w:val="0"/>
      <w:divBdr>
        <w:top w:val="none" w:sz="0" w:space="0" w:color="auto"/>
        <w:left w:val="none" w:sz="0" w:space="0" w:color="auto"/>
        <w:bottom w:val="none" w:sz="0" w:space="0" w:color="auto"/>
        <w:right w:val="none" w:sz="0" w:space="0" w:color="auto"/>
      </w:divBdr>
    </w:div>
    <w:div w:id="734428683">
      <w:bodyDiv w:val="1"/>
      <w:marLeft w:val="0"/>
      <w:marRight w:val="0"/>
      <w:marTop w:val="0"/>
      <w:marBottom w:val="0"/>
      <w:divBdr>
        <w:top w:val="none" w:sz="0" w:space="0" w:color="auto"/>
        <w:left w:val="none" w:sz="0" w:space="0" w:color="auto"/>
        <w:bottom w:val="none" w:sz="0" w:space="0" w:color="auto"/>
        <w:right w:val="none" w:sz="0" w:space="0" w:color="auto"/>
      </w:divBdr>
    </w:div>
    <w:div w:id="130312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vcww.dominio-fiera.local/gestionecww/template/%C2%B4mailto:media@iegexp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irtechexpo.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AC6C-5B19-4729-9775-116385F5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 Francesco Bellini</dc:creator>
  <cp:lastModifiedBy>Nicoletta Evangelisti</cp:lastModifiedBy>
  <cp:revision>6</cp:revision>
  <dcterms:created xsi:type="dcterms:W3CDTF">2025-06-25T15:55:00Z</dcterms:created>
  <dcterms:modified xsi:type="dcterms:W3CDTF">2025-06-26T07:55:00Z</dcterms:modified>
</cp:coreProperties>
</file>